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C4E9" w14:textId="77777777" w:rsidR="000701F4" w:rsidRPr="00AB5F03" w:rsidRDefault="000701F4" w:rsidP="000701F4">
      <w:pPr>
        <w:pStyle w:val="KeinLeerraum"/>
        <w:rPr>
          <w:rFonts w:cs="Arial"/>
          <w:szCs w:val="21"/>
          <w:lang w:eastAsia="de-DE"/>
        </w:rPr>
      </w:pPr>
      <w:r w:rsidRPr="00AB5F03">
        <w:rPr>
          <w:rFonts w:cs="Arial"/>
          <w:bCs/>
          <w:szCs w:val="21"/>
          <w:lang w:eastAsia="de-DE"/>
        </w:rPr>
        <w:t>der Vordergruppe zurück liegt und die für die gespielten Löcher erlaubte Zeit überschritten hat.</w:t>
      </w:r>
    </w:p>
    <w:p w14:paraId="363BDDA9" w14:textId="77777777" w:rsidR="000701F4" w:rsidRPr="00AB5F03" w:rsidRDefault="000701F4" w:rsidP="000701F4">
      <w:pPr>
        <w:pStyle w:val="KeinLeerraum"/>
        <w:rPr>
          <w:rFonts w:cs="Arial"/>
          <w:szCs w:val="21"/>
          <w:lang w:eastAsia="de-DE"/>
        </w:rPr>
      </w:pPr>
    </w:p>
    <w:p w14:paraId="31B36D05" w14:textId="77777777" w:rsidR="000701F4" w:rsidRPr="00AB5F03" w:rsidRDefault="000701F4" w:rsidP="000701F4">
      <w:pPr>
        <w:pStyle w:val="KeinLeerraum"/>
        <w:rPr>
          <w:rFonts w:cs="Arial"/>
          <w:b/>
          <w:szCs w:val="21"/>
          <w:lang w:eastAsia="de-DE"/>
        </w:rPr>
      </w:pPr>
      <w:r w:rsidRPr="00AB5F03">
        <w:rPr>
          <w:rFonts w:cs="Arial"/>
          <w:b/>
          <w:szCs w:val="21"/>
          <w:highlight w:val="lightGray"/>
          <w:lang w:eastAsia="de-DE"/>
        </w:rPr>
        <w:t>10. Spezifikation der Schläger und des Balls</w:t>
      </w:r>
      <w:r w:rsidRPr="00AB5F03">
        <w:rPr>
          <w:rFonts w:cs="Arial"/>
          <w:b/>
          <w:szCs w:val="21"/>
          <w:lang w:eastAsia="de-DE"/>
        </w:rPr>
        <w:t xml:space="preserve"> </w:t>
      </w:r>
    </w:p>
    <w:p w14:paraId="4B6A1D60" w14:textId="77777777" w:rsidR="000701F4" w:rsidRPr="00AB5F03" w:rsidRDefault="000701F4" w:rsidP="000701F4">
      <w:pPr>
        <w:pStyle w:val="KeinLeerraum"/>
        <w:rPr>
          <w:rFonts w:cs="Arial"/>
          <w:szCs w:val="21"/>
          <w:lang w:eastAsia="de-DE"/>
        </w:rPr>
      </w:pPr>
    </w:p>
    <w:p w14:paraId="40F5CD6F" w14:textId="77777777" w:rsidR="000701F4" w:rsidRPr="00AB5F03" w:rsidRDefault="000701F4" w:rsidP="000701F4">
      <w:pPr>
        <w:pStyle w:val="KeinLeerraum"/>
        <w:rPr>
          <w:rFonts w:cs="Arial"/>
          <w:szCs w:val="21"/>
          <w:lang w:eastAsia="de-DE"/>
        </w:rPr>
      </w:pPr>
      <w:r w:rsidRPr="00AB5F03">
        <w:rPr>
          <w:rFonts w:cs="Arial"/>
          <w:szCs w:val="21"/>
          <w:lang w:eastAsia="de-DE"/>
        </w:rPr>
        <w:t xml:space="preserve"> Es gelten die Musterplatzregeln G-1 und G-3</w:t>
      </w:r>
    </w:p>
    <w:p w14:paraId="30D6E1D5" w14:textId="77777777" w:rsidR="000701F4" w:rsidRPr="00AB5F03" w:rsidRDefault="000701F4" w:rsidP="000701F4">
      <w:pPr>
        <w:pStyle w:val="KeinLeerraum"/>
        <w:rPr>
          <w:rFonts w:cs="Arial"/>
          <w:b/>
          <w:szCs w:val="21"/>
          <w:lang w:eastAsia="de-DE"/>
        </w:rPr>
      </w:pPr>
    </w:p>
    <w:p w14:paraId="3EA27F4C" w14:textId="77777777" w:rsidR="000701F4" w:rsidRPr="00AB5F03" w:rsidRDefault="000701F4" w:rsidP="000701F4">
      <w:pPr>
        <w:pStyle w:val="KeinLeerraum"/>
        <w:rPr>
          <w:rFonts w:cs="Arial"/>
          <w:b/>
          <w:szCs w:val="21"/>
          <w:lang w:eastAsia="de-DE"/>
        </w:rPr>
      </w:pPr>
      <w:r w:rsidRPr="00AB5F03">
        <w:rPr>
          <w:rFonts w:cs="Arial"/>
          <w:b/>
          <w:szCs w:val="21"/>
          <w:highlight w:val="lightGray"/>
          <w:lang w:eastAsia="de-DE"/>
        </w:rPr>
        <w:t xml:space="preserve">11. Abweichende Regelungen für Jugendturniere </w:t>
      </w:r>
      <w:r w:rsidRPr="00AB5F03">
        <w:rPr>
          <w:rFonts w:cs="Arial"/>
          <w:b/>
          <w:szCs w:val="21"/>
          <w:lang w:eastAsia="de-DE"/>
        </w:rPr>
        <w:t xml:space="preserve"> </w:t>
      </w:r>
    </w:p>
    <w:p w14:paraId="7AFA550E" w14:textId="77777777" w:rsidR="000701F4" w:rsidRPr="00AB5F03" w:rsidRDefault="000701F4" w:rsidP="000701F4">
      <w:pPr>
        <w:pStyle w:val="KeinLeerraum"/>
        <w:rPr>
          <w:rFonts w:cs="Arial"/>
          <w:szCs w:val="21"/>
          <w:lang w:eastAsia="de-DE"/>
        </w:rPr>
      </w:pPr>
    </w:p>
    <w:p w14:paraId="709E011B" w14:textId="77777777" w:rsidR="000701F4" w:rsidRPr="00AB5F03" w:rsidRDefault="000701F4" w:rsidP="000701F4">
      <w:pPr>
        <w:pStyle w:val="KeinLeerraum"/>
        <w:rPr>
          <w:rFonts w:cs="Arial"/>
          <w:szCs w:val="21"/>
          <w:lang w:eastAsia="de-DE"/>
        </w:rPr>
      </w:pPr>
      <w:r w:rsidRPr="00AB5F03">
        <w:rPr>
          <w:rFonts w:cs="Arial"/>
          <w:szCs w:val="21"/>
          <w:lang w:eastAsia="de-DE"/>
        </w:rPr>
        <w:t>Benutzung von Entfernungsmessern oder motorisierten Trolleys regeln die entsprechenden Ausschreibungen (Einzel und Mannschaft).</w:t>
      </w:r>
    </w:p>
    <w:p w14:paraId="789D4EEF" w14:textId="77777777" w:rsidR="000701F4" w:rsidRPr="00AB5F03" w:rsidRDefault="000701F4" w:rsidP="000701F4">
      <w:pPr>
        <w:pStyle w:val="KeinLeerraum"/>
        <w:rPr>
          <w:rFonts w:cs="Arial"/>
          <w:szCs w:val="21"/>
          <w:lang w:eastAsia="de-DE"/>
        </w:rPr>
      </w:pPr>
      <w:r w:rsidRPr="00AB5F03">
        <w:rPr>
          <w:rFonts w:cs="Arial"/>
          <w:szCs w:val="21"/>
          <w:lang w:eastAsia="de-DE"/>
        </w:rPr>
        <w:t>Strafe für den ersten Verstoß:</w:t>
      </w:r>
      <w:r w:rsidRPr="00AB5F03">
        <w:rPr>
          <w:rFonts w:cs="Arial"/>
          <w:szCs w:val="21"/>
          <w:lang w:eastAsia="de-DE"/>
        </w:rPr>
        <w:tab/>
        <w:t>Grundstrafe</w:t>
      </w:r>
    </w:p>
    <w:p w14:paraId="45EA16D8" w14:textId="77777777" w:rsidR="000701F4" w:rsidRPr="00AB5F03" w:rsidRDefault="000701F4" w:rsidP="000701F4">
      <w:pPr>
        <w:pStyle w:val="KeinLeerraum"/>
        <w:rPr>
          <w:rFonts w:cs="Arial"/>
          <w:szCs w:val="21"/>
          <w:lang w:eastAsia="de-DE"/>
        </w:rPr>
      </w:pPr>
      <w:r w:rsidRPr="00AB5F03">
        <w:rPr>
          <w:rFonts w:cs="Arial"/>
          <w:szCs w:val="21"/>
          <w:lang w:eastAsia="de-DE"/>
        </w:rPr>
        <w:t xml:space="preserve">Strafe für weiteren Verstoß: </w:t>
      </w:r>
      <w:r w:rsidRPr="00AB5F03">
        <w:rPr>
          <w:rFonts w:cs="Arial"/>
          <w:szCs w:val="21"/>
          <w:lang w:eastAsia="de-DE"/>
        </w:rPr>
        <w:tab/>
        <w:t>Disqualifikation</w:t>
      </w:r>
    </w:p>
    <w:p w14:paraId="407B2539" w14:textId="77777777" w:rsidR="000701F4" w:rsidRPr="00AB5F03" w:rsidRDefault="000701F4" w:rsidP="000701F4">
      <w:pPr>
        <w:pStyle w:val="KeinLeerraum"/>
        <w:rPr>
          <w:rFonts w:cs="Arial"/>
          <w:b/>
          <w:szCs w:val="21"/>
          <w:highlight w:val="lightGray"/>
          <w:lang w:eastAsia="de-DE"/>
        </w:rPr>
      </w:pPr>
    </w:p>
    <w:p w14:paraId="4F4FE3DB" w14:textId="77777777" w:rsidR="000701F4" w:rsidRPr="00AB5F03" w:rsidRDefault="000701F4" w:rsidP="000701F4">
      <w:pPr>
        <w:pStyle w:val="KeinLeerraum"/>
        <w:rPr>
          <w:rFonts w:cs="Arial"/>
          <w:b/>
          <w:szCs w:val="21"/>
          <w:lang w:eastAsia="de-DE"/>
        </w:rPr>
      </w:pPr>
      <w:bookmarkStart w:id="0" w:name="_Hlk34129220"/>
      <w:r w:rsidRPr="00AB5F03">
        <w:rPr>
          <w:rFonts w:cs="Arial"/>
          <w:b/>
          <w:szCs w:val="21"/>
          <w:highlight w:val="lightGray"/>
          <w:lang w:eastAsia="de-DE"/>
        </w:rPr>
        <w:t>12. Strafen:</w:t>
      </w:r>
    </w:p>
    <w:bookmarkEnd w:id="0"/>
    <w:p w14:paraId="46E534D4" w14:textId="77777777" w:rsidR="000701F4" w:rsidRPr="00AB5F03" w:rsidRDefault="000701F4" w:rsidP="000701F4">
      <w:pPr>
        <w:pStyle w:val="KeinLeerraum"/>
        <w:rPr>
          <w:rFonts w:cs="Arial"/>
          <w:b/>
          <w:szCs w:val="21"/>
          <w:lang w:eastAsia="de-DE"/>
        </w:rPr>
      </w:pPr>
    </w:p>
    <w:p w14:paraId="622894E9" w14:textId="77777777" w:rsidR="000701F4" w:rsidRPr="00AB5F03" w:rsidRDefault="000701F4" w:rsidP="000701F4">
      <w:pPr>
        <w:pStyle w:val="KeinLeerraum"/>
        <w:rPr>
          <w:rFonts w:cs="Arial"/>
          <w:bCs/>
          <w:szCs w:val="21"/>
          <w:lang w:eastAsia="de-DE"/>
        </w:rPr>
      </w:pPr>
      <w:r w:rsidRPr="00AB5F03">
        <w:rPr>
          <w:rFonts w:cs="Arial"/>
          <w:bCs/>
          <w:szCs w:val="21"/>
          <w:lang w:eastAsia="de-DE"/>
        </w:rPr>
        <w:t>Sofern die Golfregeln keine andere Strafe vorsehen, gilt:</w:t>
      </w:r>
    </w:p>
    <w:p w14:paraId="49E59E10" w14:textId="77777777" w:rsidR="000701F4" w:rsidRPr="00AB5F03" w:rsidRDefault="000701F4" w:rsidP="000701F4">
      <w:pPr>
        <w:pStyle w:val="KeinLeerraum"/>
        <w:rPr>
          <w:rFonts w:cs="Arial"/>
          <w:bCs/>
          <w:szCs w:val="21"/>
          <w:lang w:eastAsia="de-DE"/>
        </w:rPr>
      </w:pPr>
      <w:r w:rsidRPr="00AB5F03">
        <w:rPr>
          <w:rFonts w:cs="Arial"/>
          <w:bCs/>
          <w:szCs w:val="21"/>
          <w:lang w:eastAsia="de-DE"/>
        </w:rPr>
        <w:t>Strafe für Verstoß gegen eine Platzregel: Grundstrafe</w:t>
      </w:r>
    </w:p>
    <w:p w14:paraId="08EDA97A" w14:textId="77777777" w:rsidR="000701F4" w:rsidRPr="00AB5F03" w:rsidRDefault="000701F4" w:rsidP="000701F4">
      <w:pPr>
        <w:pStyle w:val="KeinLeerraum"/>
        <w:rPr>
          <w:rFonts w:cs="Arial"/>
          <w:bCs/>
          <w:szCs w:val="21"/>
          <w:lang w:eastAsia="de-DE"/>
        </w:rPr>
      </w:pPr>
    </w:p>
    <w:p w14:paraId="208B62BF" w14:textId="77777777" w:rsidR="000701F4" w:rsidRPr="00AB5F03" w:rsidRDefault="000701F4" w:rsidP="000701F4">
      <w:pPr>
        <w:pStyle w:val="KeinLeerraum"/>
        <w:rPr>
          <w:rFonts w:cs="Arial"/>
          <w:b/>
          <w:szCs w:val="21"/>
          <w:lang w:eastAsia="de-DE"/>
        </w:rPr>
      </w:pPr>
      <w:r w:rsidRPr="00AB5F03">
        <w:rPr>
          <w:rFonts w:cs="Arial"/>
          <w:b/>
          <w:szCs w:val="21"/>
          <w:highlight w:val="lightGray"/>
          <w:lang w:eastAsia="de-DE"/>
        </w:rPr>
        <w:t>Ready Golf:</w:t>
      </w:r>
    </w:p>
    <w:p w14:paraId="1E58006C" w14:textId="77777777" w:rsidR="000701F4" w:rsidRPr="00AB5F03" w:rsidRDefault="000701F4" w:rsidP="000701F4">
      <w:pPr>
        <w:pStyle w:val="KeinLeerraum"/>
        <w:rPr>
          <w:rFonts w:cs="Arial"/>
          <w:bCs/>
          <w:szCs w:val="21"/>
          <w:lang w:eastAsia="de-DE"/>
        </w:rPr>
      </w:pPr>
    </w:p>
    <w:p w14:paraId="3114EA34" w14:textId="77777777" w:rsidR="000701F4" w:rsidRPr="00AB5F03" w:rsidRDefault="000701F4" w:rsidP="000701F4">
      <w:pPr>
        <w:pStyle w:val="KeinLeerraum"/>
        <w:rPr>
          <w:rFonts w:cs="Arial"/>
          <w:bCs/>
          <w:szCs w:val="21"/>
          <w:lang w:eastAsia="de-DE"/>
        </w:rPr>
      </w:pPr>
      <w:r w:rsidRPr="00AB5F03">
        <w:rPr>
          <w:rFonts w:cs="Arial"/>
          <w:bCs/>
          <w:szCs w:val="21"/>
          <w:lang w:eastAsia="de-DE"/>
        </w:rPr>
        <w:t>Spielen Sie im Zählspiel auf sichere und verantwortungsbewusste Weise „Ready Golf“.</w:t>
      </w:r>
    </w:p>
    <w:p w14:paraId="0A69A4DC" w14:textId="77777777" w:rsidR="000701F4" w:rsidRPr="00AB5F03" w:rsidRDefault="000701F4" w:rsidP="000701F4">
      <w:pPr>
        <w:pStyle w:val="KeinLeerraum"/>
        <w:rPr>
          <w:rFonts w:cs="Arial"/>
          <w:bCs/>
          <w:szCs w:val="21"/>
          <w:lang w:eastAsia="de-DE"/>
        </w:rPr>
      </w:pPr>
    </w:p>
    <w:p w14:paraId="11E648D7" w14:textId="77777777" w:rsidR="000701F4" w:rsidRPr="00AB5F03" w:rsidRDefault="000701F4" w:rsidP="000701F4">
      <w:pPr>
        <w:pStyle w:val="KeinLeerraum"/>
        <w:rPr>
          <w:rFonts w:cs="Arial"/>
          <w:b/>
          <w:szCs w:val="21"/>
          <w:lang w:eastAsia="de-DE"/>
        </w:rPr>
      </w:pPr>
      <w:r w:rsidRPr="00AB5F03">
        <w:rPr>
          <w:rFonts w:cs="Arial"/>
          <w:b/>
          <w:szCs w:val="21"/>
          <w:highlight w:val="lightGray"/>
          <w:lang w:eastAsia="de-DE"/>
        </w:rPr>
        <w:t>Hinweis:</w:t>
      </w:r>
    </w:p>
    <w:p w14:paraId="4A852D6E" w14:textId="77777777" w:rsidR="000701F4" w:rsidRPr="00AB5F03" w:rsidRDefault="000701F4" w:rsidP="000701F4">
      <w:pPr>
        <w:pStyle w:val="KeinLeerraum"/>
        <w:rPr>
          <w:rFonts w:cs="Arial"/>
          <w:bCs/>
          <w:szCs w:val="21"/>
          <w:lang w:eastAsia="de-DE"/>
        </w:rPr>
      </w:pPr>
    </w:p>
    <w:p w14:paraId="722CC02E" w14:textId="77777777" w:rsidR="000701F4" w:rsidRPr="00AB5F03" w:rsidRDefault="000701F4" w:rsidP="000701F4">
      <w:pPr>
        <w:pStyle w:val="KeinLeerraum"/>
        <w:rPr>
          <w:rFonts w:cs="Arial"/>
          <w:bCs/>
          <w:szCs w:val="21"/>
          <w:lang w:eastAsia="de-DE"/>
        </w:rPr>
      </w:pPr>
      <w:r w:rsidRPr="00AB5F03">
        <w:rPr>
          <w:rFonts w:cs="Arial"/>
          <w:bCs/>
          <w:szCs w:val="21"/>
          <w:lang w:eastAsia="de-DE"/>
        </w:rPr>
        <w:t>Rückgabe der Scorekarte in der Scoring-Area:</w:t>
      </w:r>
    </w:p>
    <w:p w14:paraId="39D5A224" w14:textId="77777777" w:rsidR="000701F4" w:rsidRPr="00AB5F03" w:rsidRDefault="000701F4" w:rsidP="000701F4">
      <w:pPr>
        <w:pStyle w:val="KeinLeerraum"/>
        <w:rPr>
          <w:rFonts w:cs="Arial"/>
          <w:bCs/>
          <w:szCs w:val="21"/>
          <w:lang w:eastAsia="de-DE"/>
        </w:rPr>
      </w:pPr>
    </w:p>
    <w:p w14:paraId="53BA1B9D" w14:textId="77777777" w:rsidR="000701F4" w:rsidRPr="00AB5F03" w:rsidRDefault="000701F4" w:rsidP="000701F4">
      <w:pPr>
        <w:pStyle w:val="KeinLeerraum"/>
        <w:rPr>
          <w:rFonts w:cs="Arial"/>
          <w:bCs/>
          <w:szCs w:val="21"/>
          <w:lang w:eastAsia="de-DE"/>
        </w:rPr>
      </w:pPr>
      <w:r w:rsidRPr="00AB5F03">
        <w:rPr>
          <w:rFonts w:cs="Arial"/>
          <w:bCs/>
          <w:szCs w:val="21"/>
          <w:lang w:eastAsia="de-DE"/>
        </w:rPr>
        <w:t xml:space="preserve">Die Scorekarte gilt als abgegeben, wenn der Spieler diesen Bereich verlassen hat. Es wird dringend empfohlen, dass jeder Spieler seine Karte persönlich abgibt, um evtl. Missverständnisse zu vermeiden. </w:t>
      </w:r>
    </w:p>
    <w:p w14:paraId="25C23C64" w14:textId="77777777" w:rsidR="000701F4" w:rsidRPr="00AB5F03" w:rsidRDefault="000701F4" w:rsidP="000701F4">
      <w:pPr>
        <w:pStyle w:val="KeinLeerraum"/>
        <w:rPr>
          <w:rFonts w:cs="Arial"/>
          <w:bCs/>
          <w:szCs w:val="21"/>
          <w:lang w:eastAsia="de-DE"/>
        </w:rPr>
      </w:pPr>
      <w:r w:rsidRPr="00AB5F03">
        <w:rPr>
          <w:rFonts w:cs="Arial"/>
          <w:bCs/>
          <w:szCs w:val="21"/>
          <w:lang w:eastAsia="de-DE"/>
        </w:rPr>
        <w:t xml:space="preserve">Es gelten die Verhaltensvorschriften der Region Nord gemäß Regel 1.2, die in der vollständigen Ausgabe der Platzregeln eingesehen werden können. </w:t>
      </w:r>
    </w:p>
    <w:p w14:paraId="27938074" w14:textId="77777777" w:rsidR="000701F4" w:rsidRPr="00AB5F03" w:rsidRDefault="000701F4" w:rsidP="000701F4">
      <w:pPr>
        <w:rPr>
          <w:rFonts w:ascii="Arial" w:hAnsi="Arial" w:cs="Arial"/>
        </w:rPr>
      </w:pPr>
    </w:p>
    <w:p w14:paraId="5B446347" w14:textId="60B3977D" w:rsidR="00B21D42" w:rsidRPr="00AB5F03" w:rsidRDefault="00AB5F03" w:rsidP="00B21D42">
      <w:pPr>
        <w:pStyle w:val="KeinLeerraum"/>
        <w:rPr>
          <w:rFonts w:cs="Arial"/>
          <w:b/>
          <w:sz w:val="36"/>
          <w:szCs w:val="36"/>
          <w:lang w:eastAsia="de-DE"/>
        </w:rPr>
      </w:pPr>
      <w:r w:rsidRPr="00AB5F03">
        <w:rPr>
          <w:rFonts w:cs="Arial"/>
          <w:b/>
          <w:bCs/>
          <w:noProof/>
        </w:rPr>
        <w:drawing>
          <wp:anchor distT="0" distB="0" distL="114300" distR="114300" simplePos="0" relativeHeight="251659264" behindDoc="0" locked="0" layoutInCell="1" allowOverlap="1" wp14:anchorId="36F5B08A" wp14:editId="2E5186BD">
            <wp:simplePos x="0" y="0"/>
            <wp:positionH relativeFrom="column">
              <wp:posOffset>3615385</wp:posOffset>
            </wp:positionH>
            <wp:positionV relativeFrom="paragraph">
              <wp:posOffset>87630</wp:posOffset>
            </wp:positionV>
            <wp:extent cx="552000" cy="720000"/>
            <wp:effectExtent l="0" t="0" r="635" b="444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000" cy="720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21D42" w:rsidRPr="00AB5F03">
        <w:rPr>
          <w:rFonts w:cs="Arial"/>
          <w:b/>
          <w:sz w:val="36"/>
          <w:szCs w:val="36"/>
          <w:lang w:eastAsia="de-DE"/>
        </w:rPr>
        <w:t>Hardcard</w:t>
      </w:r>
      <w:proofErr w:type="spellEnd"/>
      <w:r w:rsidR="00B21D42" w:rsidRPr="00AB5F03">
        <w:rPr>
          <w:rFonts w:cs="Arial"/>
          <w:b/>
          <w:sz w:val="36"/>
          <w:szCs w:val="36"/>
          <w:lang w:eastAsia="de-DE"/>
        </w:rPr>
        <w:t xml:space="preserve">/Platzregeln </w:t>
      </w:r>
    </w:p>
    <w:p w14:paraId="69A17AA9" w14:textId="244FA309" w:rsidR="00B21D42" w:rsidRPr="00AB5F03" w:rsidRDefault="00B21D42" w:rsidP="00B21D42">
      <w:pPr>
        <w:pStyle w:val="KeinLeerraum"/>
        <w:rPr>
          <w:rFonts w:cs="Arial"/>
          <w:b/>
          <w:sz w:val="36"/>
          <w:szCs w:val="36"/>
          <w:lang w:eastAsia="de-DE"/>
        </w:rPr>
      </w:pPr>
      <w:r w:rsidRPr="00AB5F03">
        <w:rPr>
          <w:rFonts w:cs="Arial"/>
          <w:b/>
          <w:sz w:val="36"/>
          <w:szCs w:val="36"/>
          <w:lang w:eastAsia="de-DE"/>
        </w:rPr>
        <w:t>Region Nord Turniere 2021</w:t>
      </w:r>
    </w:p>
    <w:p w14:paraId="72EBA213" w14:textId="6FF923CF" w:rsidR="00B21D42" w:rsidRPr="00AB5F03" w:rsidRDefault="00AB5F03" w:rsidP="00B21D42">
      <w:pPr>
        <w:pStyle w:val="KeinLeerraum"/>
        <w:rPr>
          <w:rFonts w:cs="Arial"/>
          <w:szCs w:val="21"/>
          <w:lang w:eastAsia="de-DE"/>
        </w:rPr>
      </w:pPr>
      <w:r w:rsidRPr="00AB5F03">
        <w:rPr>
          <w:rFonts w:cs="Arial"/>
          <w:b/>
          <w:noProof/>
          <w:sz w:val="144"/>
          <w:szCs w:val="144"/>
          <w:lang w:eastAsia="de-DE"/>
        </w:rPr>
        <w:drawing>
          <wp:anchor distT="0" distB="0" distL="114300" distR="114300" simplePos="0" relativeHeight="251660288" behindDoc="0" locked="0" layoutInCell="1" allowOverlap="1" wp14:anchorId="7E47D96F" wp14:editId="779F0F5B">
            <wp:simplePos x="0" y="0"/>
            <wp:positionH relativeFrom="column">
              <wp:posOffset>3594735</wp:posOffset>
            </wp:positionH>
            <wp:positionV relativeFrom="paragraph">
              <wp:posOffset>115240</wp:posOffset>
            </wp:positionV>
            <wp:extent cx="582930" cy="611505"/>
            <wp:effectExtent l="0" t="0" r="7620" b="0"/>
            <wp:wrapSquare wrapText="bothSides"/>
            <wp:docPr id="1" name="Grafik 1" descr="C:\Users\Prox\Dropbox (LGVHH)\HGV-Daten\Landestrainer\Alexander Helbing\Logos\Logo_H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x\Dropbox (LGVHH)\HGV-Daten\Landestrainer\Alexander Helbing\Logos\Logo_HG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9655" w14:textId="18E3A337" w:rsidR="00B21D42" w:rsidRPr="00AB5F03" w:rsidRDefault="00B21D42" w:rsidP="00B21D42">
      <w:pPr>
        <w:pStyle w:val="KeinLeerraum"/>
        <w:rPr>
          <w:rFonts w:cs="Arial"/>
          <w:szCs w:val="21"/>
          <w:lang w:eastAsia="de-DE"/>
        </w:rPr>
      </w:pPr>
      <w:r w:rsidRPr="00AB5F03">
        <w:rPr>
          <w:rFonts w:cs="Arial"/>
          <w:szCs w:val="21"/>
          <w:lang w:eastAsia="de-DE"/>
        </w:rPr>
        <w:t>In allen Turnieren der Region Nord, des GVSH, HGV und GVMV gelten die hier auszugsweise aufgeführten Platzregeln und Hinweise:</w:t>
      </w:r>
      <w:r w:rsidR="00AB5F03" w:rsidRPr="00AB5F03">
        <w:rPr>
          <w:rFonts w:cs="Arial"/>
          <w:b/>
          <w:noProof/>
          <w:sz w:val="144"/>
          <w:szCs w:val="144"/>
          <w:lang w:eastAsia="de-DE"/>
        </w:rPr>
        <w:t xml:space="preserve"> </w:t>
      </w:r>
    </w:p>
    <w:p w14:paraId="55551637" w14:textId="08AAC719" w:rsidR="00B21D42" w:rsidRPr="00AB5F03" w:rsidRDefault="00B21D42" w:rsidP="00B21D42">
      <w:pPr>
        <w:pStyle w:val="KeinLeerraum"/>
        <w:rPr>
          <w:rFonts w:cs="Arial"/>
          <w:szCs w:val="21"/>
          <w:lang w:eastAsia="de-DE"/>
        </w:rPr>
      </w:pPr>
    </w:p>
    <w:p w14:paraId="1AA4B3AB" w14:textId="44772351" w:rsidR="00AB5F03" w:rsidRPr="00AB5F03" w:rsidRDefault="00AB5F03" w:rsidP="00B21D42">
      <w:pPr>
        <w:pStyle w:val="KeinLeerraum"/>
        <w:rPr>
          <w:rFonts w:cs="Arial"/>
          <w:szCs w:val="21"/>
          <w:lang w:eastAsia="de-DE"/>
        </w:rPr>
      </w:pPr>
      <w:r w:rsidRPr="00AB5F03">
        <w:rPr>
          <w:rFonts w:cs="Arial"/>
          <w:noProof/>
        </w:rPr>
        <w:drawing>
          <wp:anchor distT="0" distB="0" distL="114300" distR="114300" simplePos="0" relativeHeight="251661312" behindDoc="0" locked="0" layoutInCell="1" allowOverlap="1" wp14:anchorId="2CB98B2E" wp14:editId="57077619">
            <wp:simplePos x="0" y="0"/>
            <wp:positionH relativeFrom="column">
              <wp:posOffset>3471545</wp:posOffset>
            </wp:positionH>
            <wp:positionV relativeFrom="paragraph">
              <wp:posOffset>28880</wp:posOffset>
            </wp:positionV>
            <wp:extent cx="827405" cy="38544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38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25B96" w14:textId="00688306" w:rsidR="00AB5F03" w:rsidRPr="00AB5F03" w:rsidRDefault="00AB5F03" w:rsidP="00B21D42">
      <w:pPr>
        <w:pStyle w:val="KeinLeerraum"/>
        <w:rPr>
          <w:rFonts w:cs="Arial"/>
          <w:szCs w:val="21"/>
          <w:lang w:eastAsia="de-DE"/>
        </w:rPr>
      </w:pPr>
    </w:p>
    <w:p w14:paraId="32A7DB95" w14:textId="0B7EB1F1" w:rsidR="001B0BEB" w:rsidRPr="00AB5F03" w:rsidRDefault="001B0BEB" w:rsidP="00B21D42">
      <w:pPr>
        <w:pStyle w:val="KeinLeerraum"/>
        <w:rPr>
          <w:rFonts w:cs="Arial"/>
          <w:b/>
          <w:szCs w:val="21"/>
          <w:highlight w:val="lightGray"/>
          <w:lang w:eastAsia="de-DE"/>
        </w:rPr>
      </w:pPr>
    </w:p>
    <w:p w14:paraId="6ED1DD5C" w14:textId="77777777" w:rsidR="00AB5F03" w:rsidRPr="00AB5F03" w:rsidRDefault="00AB5F03" w:rsidP="00B21D42">
      <w:pPr>
        <w:pStyle w:val="KeinLeerraum"/>
        <w:rPr>
          <w:rFonts w:cs="Arial"/>
          <w:b/>
          <w:szCs w:val="21"/>
          <w:highlight w:val="lightGray"/>
          <w:lang w:eastAsia="de-DE"/>
        </w:rPr>
      </w:pPr>
    </w:p>
    <w:p w14:paraId="42778387" w14:textId="77777777" w:rsidR="00AB5F03" w:rsidRPr="00AB5F03" w:rsidRDefault="00AB5F03" w:rsidP="00B21D42">
      <w:pPr>
        <w:pStyle w:val="KeinLeerraum"/>
        <w:rPr>
          <w:rFonts w:cs="Arial"/>
          <w:b/>
          <w:szCs w:val="21"/>
          <w:highlight w:val="lightGray"/>
          <w:lang w:eastAsia="de-DE"/>
        </w:rPr>
      </w:pPr>
    </w:p>
    <w:p w14:paraId="3C4225EE" w14:textId="04260AC3" w:rsidR="00B21D42" w:rsidRPr="00AB5F03" w:rsidRDefault="00B21D42" w:rsidP="00B21D42">
      <w:pPr>
        <w:pStyle w:val="KeinLeerraum"/>
        <w:rPr>
          <w:rFonts w:cs="Arial"/>
          <w:b/>
          <w:szCs w:val="21"/>
          <w:lang w:eastAsia="de-DE"/>
        </w:rPr>
      </w:pPr>
      <w:r w:rsidRPr="00AB5F03">
        <w:rPr>
          <w:rFonts w:cs="Arial"/>
          <w:b/>
          <w:szCs w:val="21"/>
          <w:highlight w:val="lightGray"/>
          <w:lang w:eastAsia="de-DE"/>
        </w:rPr>
        <w:t>1. Aus (Regel 18.2)</w:t>
      </w:r>
      <w:r w:rsidRPr="00AB5F03">
        <w:rPr>
          <w:rFonts w:cs="Arial"/>
          <w:b/>
          <w:szCs w:val="21"/>
          <w:lang w:eastAsia="de-DE"/>
        </w:rPr>
        <w:t xml:space="preserve"> </w:t>
      </w:r>
    </w:p>
    <w:p w14:paraId="50B5EF28" w14:textId="52D20BE1" w:rsidR="00B21D42" w:rsidRPr="00AB5F03" w:rsidRDefault="00B21D42" w:rsidP="00B21D42">
      <w:pPr>
        <w:pStyle w:val="KeinLeerraum"/>
        <w:rPr>
          <w:rFonts w:cs="Arial"/>
          <w:szCs w:val="21"/>
          <w:lang w:eastAsia="de-DE"/>
        </w:rPr>
      </w:pPr>
    </w:p>
    <w:p w14:paraId="6EA4A73F" w14:textId="789E5CA7" w:rsidR="00B21D42" w:rsidRPr="00AB5F03" w:rsidRDefault="00B21D42" w:rsidP="00B21D42">
      <w:pPr>
        <w:pStyle w:val="KeinLeerraum"/>
        <w:rPr>
          <w:rFonts w:cs="Arial"/>
          <w:szCs w:val="21"/>
          <w:lang w:eastAsia="de-DE"/>
        </w:rPr>
      </w:pPr>
      <w:r w:rsidRPr="00AB5F03">
        <w:rPr>
          <w:rFonts w:cs="Arial"/>
          <w:szCs w:val="21"/>
          <w:lang w:eastAsia="de-DE"/>
        </w:rPr>
        <w:t xml:space="preserve">wird durch weiße Pfähle, Zäune oder Mauern gekennzeichnet. Sofern weiße Linien die Platzgrenze kennzeichnen, haben diese Vorrang. </w:t>
      </w:r>
    </w:p>
    <w:p w14:paraId="3DB1144C" w14:textId="0F1B12D0" w:rsidR="00B21D42" w:rsidRPr="00AB5F03" w:rsidRDefault="00B21D42" w:rsidP="00B21D42">
      <w:pPr>
        <w:pStyle w:val="KeinLeerraum"/>
        <w:rPr>
          <w:rFonts w:cs="Arial"/>
          <w:szCs w:val="21"/>
          <w:lang w:eastAsia="de-DE"/>
        </w:rPr>
      </w:pPr>
    </w:p>
    <w:p w14:paraId="4D647D8D" w14:textId="3139D9FD" w:rsidR="00B21D42" w:rsidRPr="00AB5F03" w:rsidRDefault="00B21D42" w:rsidP="00B21D42">
      <w:pPr>
        <w:pStyle w:val="KeinLeerraum"/>
        <w:rPr>
          <w:rFonts w:cs="Arial"/>
        </w:rPr>
      </w:pPr>
      <w:r w:rsidRPr="00AB5F03">
        <w:rPr>
          <w:rFonts w:cs="Arial"/>
          <w:b/>
          <w:szCs w:val="21"/>
          <w:highlight w:val="lightGray"/>
          <w:lang w:eastAsia="de-DE"/>
        </w:rPr>
        <w:t>2. Spielverbotszonen (Regel 2.4)</w:t>
      </w:r>
    </w:p>
    <w:p w14:paraId="2331712D" w14:textId="77777777" w:rsidR="00B21D42" w:rsidRPr="00AB5F03" w:rsidRDefault="00B21D42" w:rsidP="00B21D42">
      <w:pPr>
        <w:pStyle w:val="KeinLeerraum"/>
        <w:rPr>
          <w:rFonts w:cs="Arial"/>
        </w:rPr>
      </w:pPr>
    </w:p>
    <w:p w14:paraId="3ACF94DA" w14:textId="77777777" w:rsidR="00B21D42" w:rsidRPr="00AB5F03" w:rsidRDefault="00B21D42" w:rsidP="00B21D42">
      <w:pPr>
        <w:pStyle w:val="KeinLeerraum"/>
        <w:rPr>
          <w:rFonts w:cs="Arial"/>
          <w:szCs w:val="21"/>
          <w:lang w:eastAsia="de-DE"/>
        </w:rPr>
      </w:pPr>
      <w:r w:rsidRPr="00AB5F03">
        <w:rPr>
          <w:rFonts w:cs="Arial"/>
          <w:szCs w:val="21"/>
          <w:lang w:eastAsia="de-DE"/>
        </w:rPr>
        <w:t>sind durch Pfähle mit grünen Köpfen gekennzeichnet. Das Spielen daraus ist verboten.</w:t>
      </w:r>
    </w:p>
    <w:p w14:paraId="488E504D" w14:textId="77777777" w:rsidR="00B21D42" w:rsidRPr="00AB5F03" w:rsidRDefault="00B21D42" w:rsidP="00B21D42">
      <w:pPr>
        <w:pStyle w:val="KeinLeerraum"/>
        <w:rPr>
          <w:rFonts w:cs="Arial"/>
          <w:szCs w:val="21"/>
          <w:lang w:eastAsia="de-DE"/>
        </w:rPr>
      </w:pPr>
      <w:r w:rsidRPr="00AB5F03">
        <w:rPr>
          <w:rFonts w:cs="Arial"/>
          <w:szCs w:val="21"/>
          <w:lang w:eastAsia="de-DE"/>
        </w:rPr>
        <w:t xml:space="preserve">Ein Spieler muss Erleichterung nach der anwendbaren Regel (16 oder 17) in Anspruch nehmen. </w:t>
      </w:r>
    </w:p>
    <w:p w14:paraId="16AB8366" w14:textId="77777777" w:rsidR="00B21D42" w:rsidRPr="00AB5F03" w:rsidRDefault="00B21D42" w:rsidP="00B21D42">
      <w:pPr>
        <w:pStyle w:val="KeinLeerraum"/>
        <w:rPr>
          <w:rFonts w:cs="Arial"/>
          <w:szCs w:val="21"/>
          <w:lang w:eastAsia="de-DE"/>
        </w:rPr>
      </w:pPr>
    </w:p>
    <w:p w14:paraId="4CDCA956" w14:textId="77777777" w:rsidR="00B21D42" w:rsidRPr="00AB5F03" w:rsidRDefault="00B21D42" w:rsidP="00B21D42">
      <w:pPr>
        <w:pStyle w:val="KeinLeerraum"/>
        <w:rPr>
          <w:rFonts w:cs="Arial"/>
        </w:rPr>
      </w:pPr>
      <w:r w:rsidRPr="00AB5F03">
        <w:rPr>
          <w:rFonts w:cs="Arial"/>
          <w:szCs w:val="21"/>
          <w:lang w:eastAsia="de-DE"/>
        </w:rPr>
        <w:t>Liegt der Ball außerhalb einer Spielverbotszone im Gelände, im Bunker oder auf dem Grün, aber eine Spielverbotszone beeinträchtigt den Bereich des beabsichtigten Schwungs des Spielers, muss der Spieler nach Regel 16.1f (2) verfahren. Ist das Betreten einer Spielverbotszone verboten, kann das Betreten als schwerwiegendes Fehlverhalten unter Verstoß gegen Regel 1.2 angesehen werden.</w:t>
      </w:r>
    </w:p>
    <w:p w14:paraId="05988738" w14:textId="1B6FD052" w:rsidR="00AB5F03" w:rsidRDefault="00AB5F03" w:rsidP="00B21D42">
      <w:pPr>
        <w:pStyle w:val="KeinLeerraum"/>
        <w:rPr>
          <w:rFonts w:cs="Arial"/>
          <w:szCs w:val="21"/>
          <w:lang w:eastAsia="de-DE"/>
        </w:rPr>
      </w:pPr>
    </w:p>
    <w:p w14:paraId="2B97A206" w14:textId="64C77CD6" w:rsidR="000701F4" w:rsidRDefault="000701F4" w:rsidP="00B21D42">
      <w:pPr>
        <w:pStyle w:val="KeinLeerraum"/>
        <w:rPr>
          <w:rFonts w:cs="Arial"/>
          <w:szCs w:val="21"/>
          <w:lang w:eastAsia="de-DE"/>
        </w:rPr>
      </w:pPr>
    </w:p>
    <w:p w14:paraId="540D0332" w14:textId="12406CC2" w:rsidR="000701F4" w:rsidRDefault="000701F4" w:rsidP="00B21D42">
      <w:pPr>
        <w:pStyle w:val="KeinLeerraum"/>
        <w:rPr>
          <w:rFonts w:cs="Arial"/>
          <w:szCs w:val="21"/>
          <w:lang w:eastAsia="de-DE"/>
        </w:rPr>
      </w:pPr>
    </w:p>
    <w:p w14:paraId="4C990EEA" w14:textId="77777777" w:rsidR="000701F4" w:rsidRDefault="000701F4" w:rsidP="00B21D42">
      <w:pPr>
        <w:pStyle w:val="KeinLeerraum"/>
        <w:rPr>
          <w:rFonts w:cs="Arial"/>
          <w:szCs w:val="21"/>
          <w:lang w:eastAsia="de-DE"/>
        </w:rPr>
      </w:pPr>
    </w:p>
    <w:p w14:paraId="027CB747" w14:textId="058FE29B" w:rsidR="000701F4" w:rsidRDefault="000701F4" w:rsidP="00B21D42">
      <w:pPr>
        <w:pStyle w:val="KeinLeerraum"/>
        <w:rPr>
          <w:rFonts w:cs="Arial"/>
          <w:szCs w:val="21"/>
          <w:lang w:eastAsia="de-DE"/>
        </w:rPr>
      </w:pPr>
    </w:p>
    <w:p w14:paraId="7BF5168B" w14:textId="77777777" w:rsidR="000701F4" w:rsidRPr="00AB5F03" w:rsidRDefault="000701F4" w:rsidP="00B21D42">
      <w:pPr>
        <w:pStyle w:val="KeinLeerraum"/>
        <w:rPr>
          <w:rFonts w:cs="Arial"/>
          <w:szCs w:val="21"/>
          <w:lang w:eastAsia="de-DE"/>
        </w:rPr>
      </w:pPr>
    </w:p>
    <w:p w14:paraId="1C7228D7" w14:textId="77777777" w:rsidR="00B21D42" w:rsidRPr="00AB5F03" w:rsidRDefault="00B21D42" w:rsidP="00B21D42">
      <w:pPr>
        <w:pStyle w:val="KeinLeerraum"/>
        <w:rPr>
          <w:rFonts w:cs="Arial"/>
          <w:b/>
          <w:szCs w:val="21"/>
          <w:highlight w:val="lightGray"/>
          <w:lang w:eastAsia="de-DE"/>
        </w:rPr>
      </w:pPr>
      <w:r w:rsidRPr="00AB5F03">
        <w:rPr>
          <w:rFonts w:cs="Arial"/>
          <w:b/>
          <w:szCs w:val="21"/>
          <w:highlight w:val="lightGray"/>
          <w:lang w:eastAsia="de-DE"/>
        </w:rPr>
        <w:lastRenderedPageBreak/>
        <w:t>3. Ungewöhnliche Platzverhältnisse (Boden in Ausbesserung,</w:t>
      </w:r>
    </w:p>
    <w:p w14:paraId="62958842" w14:textId="77777777" w:rsidR="00B21D42" w:rsidRPr="00AB5F03" w:rsidRDefault="00B21D42" w:rsidP="00B21D42">
      <w:pPr>
        <w:pStyle w:val="KeinLeerraum"/>
        <w:rPr>
          <w:rFonts w:cs="Arial"/>
          <w:b/>
          <w:szCs w:val="21"/>
          <w:lang w:eastAsia="de-DE"/>
        </w:rPr>
      </w:pPr>
      <w:r w:rsidRPr="00AB5F03">
        <w:rPr>
          <w:rFonts w:cs="Arial"/>
          <w:b/>
          <w:szCs w:val="21"/>
          <w:highlight w:val="lightGray"/>
          <w:lang w:eastAsia="de-DE"/>
        </w:rPr>
        <w:t xml:space="preserve">    unbewegliche Hemmnisse) (Regel 16.1)</w:t>
      </w:r>
    </w:p>
    <w:p w14:paraId="1D99491C" w14:textId="77777777" w:rsidR="00B21D42" w:rsidRPr="00AB5F03" w:rsidRDefault="00B21D42" w:rsidP="00B21D42">
      <w:pPr>
        <w:pStyle w:val="KeinLeerraum"/>
        <w:rPr>
          <w:rFonts w:cs="Arial"/>
          <w:szCs w:val="21"/>
          <w:lang w:eastAsia="de-DE"/>
        </w:rPr>
      </w:pPr>
    </w:p>
    <w:p w14:paraId="1C9677B0" w14:textId="77777777" w:rsidR="00B21D42" w:rsidRPr="00AB5F03" w:rsidRDefault="00B21D42" w:rsidP="00B21D42">
      <w:pPr>
        <w:pStyle w:val="KeinLeerraum"/>
        <w:rPr>
          <w:rFonts w:cs="Arial"/>
          <w:szCs w:val="21"/>
          <w:lang w:eastAsia="de-DE"/>
        </w:rPr>
      </w:pPr>
      <w:r w:rsidRPr="00AB5F03">
        <w:rPr>
          <w:rFonts w:cs="Arial"/>
          <w:szCs w:val="21"/>
          <w:lang w:eastAsia="de-DE"/>
        </w:rPr>
        <w:t xml:space="preserve">a) Jede Fläche, die durch weiße </w:t>
      </w:r>
      <w:proofErr w:type="spellStart"/>
      <w:r w:rsidRPr="00AB5F03">
        <w:rPr>
          <w:rFonts w:cs="Arial"/>
          <w:szCs w:val="21"/>
          <w:lang w:eastAsia="de-DE"/>
        </w:rPr>
        <w:t>Einkreisungen</w:t>
      </w:r>
      <w:proofErr w:type="spellEnd"/>
      <w:r w:rsidRPr="00AB5F03">
        <w:rPr>
          <w:rFonts w:cs="Arial"/>
          <w:szCs w:val="21"/>
          <w:lang w:eastAsia="de-DE"/>
        </w:rPr>
        <w:t xml:space="preserve"> und / oder blaue Pfähle gekennzeichnet ist.    </w:t>
      </w:r>
    </w:p>
    <w:p w14:paraId="537A5D79" w14:textId="77777777" w:rsidR="00B21D42" w:rsidRPr="00AB5F03" w:rsidRDefault="00B21D42" w:rsidP="00B21D42">
      <w:pPr>
        <w:pStyle w:val="KeinLeerraum"/>
        <w:rPr>
          <w:rFonts w:cs="Arial"/>
          <w:szCs w:val="21"/>
          <w:lang w:eastAsia="de-DE"/>
        </w:rPr>
      </w:pPr>
      <w:r w:rsidRPr="00AB5F03">
        <w:rPr>
          <w:rFonts w:cs="Arial"/>
          <w:szCs w:val="21"/>
          <w:lang w:eastAsia="de-DE"/>
        </w:rPr>
        <w:t xml:space="preserve">    Ist beides vorhanden, gilt die Linie.</w:t>
      </w:r>
    </w:p>
    <w:p w14:paraId="1860D030" w14:textId="77777777" w:rsidR="00B21D42" w:rsidRPr="00AB5F03" w:rsidRDefault="00B21D42" w:rsidP="00B21D42">
      <w:pPr>
        <w:pStyle w:val="KeinLeerraum"/>
        <w:rPr>
          <w:rFonts w:cs="Arial"/>
          <w:szCs w:val="21"/>
          <w:lang w:eastAsia="de-DE"/>
        </w:rPr>
      </w:pPr>
      <w:r w:rsidRPr="00AB5F03">
        <w:rPr>
          <w:rFonts w:cs="Arial"/>
          <w:szCs w:val="21"/>
          <w:lang w:eastAsia="de-DE"/>
        </w:rPr>
        <w:t>b) Frisch verlegte Soden</w:t>
      </w:r>
    </w:p>
    <w:p w14:paraId="551F841F" w14:textId="77777777" w:rsidR="00B21D42" w:rsidRPr="00AB5F03" w:rsidRDefault="00B21D42" w:rsidP="00B21D42">
      <w:pPr>
        <w:pStyle w:val="KeinLeerraum"/>
        <w:rPr>
          <w:rFonts w:cs="Arial"/>
          <w:szCs w:val="21"/>
          <w:lang w:eastAsia="de-DE"/>
        </w:rPr>
      </w:pPr>
      <w:r w:rsidRPr="00AB5F03">
        <w:rPr>
          <w:rFonts w:cs="Arial"/>
          <w:szCs w:val="21"/>
          <w:lang w:eastAsia="de-DE"/>
        </w:rPr>
        <w:t xml:space="preserve">c) Mit Kies verfüllte Drainagegräben </w:t>
      </w:r>
    </w:p>
    <w:p w14:paraId="351C8C6D" w14:textId="77777777" w:rsidR="00B21D42" w:rsidRPr="00AB5F03" w:rsidRDefault="00B21D42" w:rsidP="00B21D42">
      <w:pPr>
        <w:pStyle w:val="KeinLeerraum"/>
        <w:rPr>
          <w:rFonts w:cs="Arial"/>
          <w:szCs w:val="21"/>
          <w:lang w:eastAsia="de-DE"/>
        </w:rPr>
      </w:pPr>
      <w:r w:rsidRPr="00AB5F03">
        <w:rPr>
          <w:rFonts w:cs="Arial"/>
          <w:szCs w:val="21"/>
          <w:lang w:eastAsia="de-DE"/>
        </w:rPr>
        <w:t xml:space="preserve">Behinderung gilt nicht als gegeben, wenn ein </w:t>
      </w:r>
      <w:proofErr w:type="spellStart"/>
      <w:r w:rsidRPr="00AB5F03">
        <w:rPr>
          <w:rFonts w:cs="Arial"/>
          <w:szCs w:val="21"/>
          <w:lang w:eastAsia="de-DE"/>
        </w:rPr>
        <w:t>Tierloch</w:t>
      </w:r>
      <w:proofErr w:type="spellEnd"/>
      <w:r w:rsidRPr="00AB5F03">
        <w:rPr>
          <w:rFonts w:cs="Arial"/>
          <w:szCs w:val="21"/>
          <w:lang w:eastAsia="de-DE"/>
        </w:rPr>
        <w:t xml:space="preserve"> nur den Stand des Spielers behindert.</w:t>
      </w:r>
    </w:p>
    <w:p w14:paraId="23441268" w14:textId="77777777" w:rsidR="00B21D42" w:rsidRPr="00AB5F03" w:rsidRDefault="00B21D42" w:rsidP="00B21D42">
      <w:pPr>
        <w:pStyle w:val="KeinLeerraum"/>
        <w:rPr>
          <w:rFonts w:cs="Arial"/>
          <w:szCs w:val="21"/>
          <w:lang w:eastAsia="de-DE"/>
        </w:rPr>
      </w:pPr>
      <w:r w:rsidRPr="00AB5F03">
        <w:rPr>
          <w:rFonts w:cs="Arial"/>
          <w:szCs w:val="21"/>
          <w:lang w:eastAsia="de-DE"/>
        </w:rPr>
        <w:t xml:space="preserve">Unbewegliche Hemmnisse sind u.a. mit Pfählen, Manschetten, Bändern oder Seilen gekennzeichnete Anpflanzungen. </w:t>
      </w:r>
    </w:p>
    <w:p w14:paraId="0582ED56" w14:textId="77777777" w:rsidR="00B21D42" w:rsidRPr="00AB5F03" w:rsidRDefault="00B21D42" w:rsidP="00B21D42">
      <w:pPr>
        <w:pStyle w:val="KeinLeerraum"/>
        <w:rPr>
          <w:rFonts w:cs="Arial"/>
          <w:szCs w:val="21"/>
          <w:lang w:eastAsia="de-DE"/>
        </w:rPr>
      </w:pPr>
    </w:p>
    <w:p w14:paraId="0AD7AFA6" w14:textId="77777777" w:rsidR="00B21D42" w:rsidRPr="00AB5F03" w:rsidRDefault="00B21D42" w:rsidP="00B21D42">
      <w:pPr>
        <w:pStyle w:val="KeinLeerraum"/>
        <w:rPr>
          <w:rFonts w:cs="Arial"/>
          <w:b/>
          <w:szCs w:val="21"/>
          <w:lang w:eastAsia="de-DE"/>
        </w:rPr>
      </w:pPr>
      <w:r w:rsidRPr="00AB5F03">
        <w:rPr>
          <w:rFonts w:cs="Arial"/>
          <w:b/>
          <w:szCs w:val="21"/>
          <w:highlight w:val="lightGray"/>
          <w:lang w:eastAsia="de-DE"/>
        </w:rPr>
        <w:t>4. Stromleitungen</w:t>
      </w:r>
    </w:p>
    <w:p w14:paraId="0F7A17A6" w14:textId="77777777" w:rsidR="00B21D42" w:rsidRPr="00AB5F03" w:rsidRDefault="00B21D42" w:rsidP="00B21D42">
      <w:pPr>
        <w:pStyle w:val="KeinLeerraum"/>
        <w:rPr>
          <w:rFonts w:cs="Arial"/>
          <w:szCs w:val="21"/>
          <w:lang w:eastAsia="de-DE"/>
        </w:rPr>
      </w:pPr>
    </w:p>
    <w:p w14:paraId="59E9F273" w14:textId="77777777" w:rsidR="00B21D42" w:rsidRPr="00AB5F03" w:rsidRDefault="00B21D42" w:rsidP="00B21D42">
      <w:pPr>
        <w:pStyle w:val="KeinLeerraum"/>
        <w:rPr>
          <w:rFonts w:cs="Arial"/>
          <w:szCs w:val="21"/>
          <w:lang w:eastAsia="de-DE"/>
        </w:rPr>
      </w:pPr>
      <w:r w:rsidRPr="00AB5F03">
        <w:rPr>
          <w:rFonts w:cs="Arial"/>
          <w:szCs w:val="21"/>
          <w:lang w:eastAsia="de-DE"/>
        </w:rPr>
        <w:t>Ist es bekannt oder so gut wie sicher, dass der Ball eines Spielers eine Stromleitung innerhalb der Platzgrenzen getroffen hat, zählt der Schlag nicht. Der Spieler muss einen Ball straflos von der Stelle des vorherigen Schlags spielen (siehe Regel 14.6).</w:t>
      </w:r>
    </w:p>
    <w:p w14:paraId="7F0719FD" w14:textId="77777777" w:rsidR="00B21D42" w:rsidRPr="00AB5F03" w:rsidRDefault="00B21D42" w:rsidP="00B21D42">
      <w:pPr>
        <w:pStyle w:val="KeinLeerraum"/>
        <w:rPr>
          <w:rFonts w:cs="Arial"/>
          <w:szCs w:val="21"/>
          <w:lang w:eastAsia="de-DE"/>
        </w:rPr>
      </w:pPr>
    </w:p>
    <w:p w14:paraId="4E7CF48C" w14:textId="77777777" w:rsidR="00B21D42" w:rsidRPr="00AB5F03" w:rsidRDefault="00B21D42" w:rsidP="00B21D42">
      <w:pPr>
        <w:pStyle w:val="KeinLeerraum"/>
        <w:rPr>
          <w:rFonts w:cs="Arial"/>
          <w:b/>
          <w:szCs w:val="21"/>
          <w:lang w:eastAsia="de-DE"/>
        </w:rPr>
      </w:pPr>
      <w:r w:rsidRPr="00AB5F03">
        <w:rPr>
          <w:rFonts w:cs="Arial"/>
          <w:b/>
          <w:szCs w:val="21"/>
          <w:highlight w:val="lightGray"/>
          <w:lang w:eastAsia="de-DE"/>
        </w:rPr>
        <w:t>5. Fahren/Mitfahren in Golfwagen oder ähnlichen Fahrzeugen</w:t>
      </w:r>
      <w:r w:rsidRPr="00AB5F03">
        <w:rPr>
          <w:rFonts w:cs="Arial"/>
          <w:b/>
          <w:szCs w:val="21"/>
          <w:lang w:eastAsia="de-DE"/>
        </w:rPr>
        <w:t xml:space="preserve"> </w:t>
      </w:r>
    </w:p>
    <w:p w14:paraId="2ABE7F98" w14:textId="77777777" w:rsidR="00B21D42" w:rsidRPr="00AB5F03" w:rsidRDefault="00B21D42" w:rsidP="00B21D42">
      <w:pPr>
        <w:pStyle w:val="KeinLeerraum"/>
        <w:rPr>
          <w:rFonts w:cs="Arial"/>
          <w:szCs w:val="21"/>
          <w:lang w:eastAsia="de-DE"/>
        </w:rPr>
      </w:pPr>
      <w:r w:rsidRPr="00AB5F03">
        <w:rPr>
          <w:rFonts w:cs="Arial"/>
          <w:szCs w:val="21"/>
          <w:lang w:eastAsia="de-DE"/>
        </w:rPr>
        <w:t>Spieler oder Caddies dürfen während der festgesetzten Runde keinerlei Beförderungsmittel nutzen, außer das kurzfristige Fahren/Mitfahren wird von der Spielleitung / den Referees ausdrücklich gestattet. Gleiches gilt in Mannschaftsturnieren während des Spiels seiner Mannschaft für den Mannschaftskapitän. (Ausnahme s. Ziffer B.5 DGV-Turnierbedingungen)</w:t>
      </w:r>
    </w:p>
    <w:p w14:paraId="6931B0CD" w14:textId="77777777" w:rsidR="00B21D42" w:rsidRPr="00AB5F03" w:rsidRDefault="00B21D42" w:rsidP="00B21D42">
      <w:pPr>
        <w:pStyle w:val="KeinLeerraum"/>
        <w:rPr>
          <w:rFonts w:cs="Arial"/>
          <w:szCs w:val="21"/>
          <w:lang w:eastAsia="de-DE"/>
        </w:rPr>
      </w:pPr>
    </w:p>
    <w:p w14:paraId="3258865C" w14:textId="77777777" w:rsidR="00B21D42" w:rsidRPr="00AB5F03" w:rsidRDefault="00B21D42" w:rsidP="00B21D42">
      <w:pPr>
        <w:pStyle w:val="KeinLeerraum"/>
        <w:rPr>
          <w:rFonts w:cs="Arial"/>
          <w:b/>
          <w:szCs w:val="21"/>
          <w:lang w:eastAsia="de-DE"/>
        </w:rPr>
      </w:pPr>
      <w:r w:rsidRPr="00AB5F03">
        <w:rPr>
          <w:rFonts w:cs="Arial"/>
          <w:b/>
          <w:szCs w:val="21"/>
          <w:highlight w:val="lightGray"/>
          <w:lang w:eastAsia="de-DE"/>
        </w:rPr>
        <w:t>6. Caddies (Regel 10.3)</w:t>
      </w:r>
    </w:p>
    <w:p w14:paraId="092741C1" w14:textId="77777777" w:rsidR="00B21D42" w:rsidRPr="00AB5F03" w:rsidRDefault="00B21D42" w:rsidP="00B21D42">
      <w:pPr>
        <w:autoSpaceDE w:val="0"/>
        <w:autoSpaceDN w:val="0"/>
        <w:adjustRightInd w:val="0"/>
        <w:spacing w:after="0" w:line="240" w:lineRule="auto"/>
        <w:rPr>
          <w:rFonts w:ascii="Arial" w:hAnsi="Arial" w:cs="Arial"/>
          <w:szCs w:val="21"/>
        </w:rPr>
      </w:pPr>
      <w:r w:rsidRPr="00AB5F03">
        <w:rPr>
          <w:rFonts w:ascii="Arial" w:hAnsi="Arial" w:cs="Arial"/>
          <w:szCs w:val="21"/>
        </w:rPr>
        <w:t>a) Einzel: Professionals sind als Caddie nicht erlaubt. Bei Jugendturnieren sind Caddies nicht erlaubt.</w:t>
      </w:r>
    </w:p>
    <w:p w14:paraId="421243C8" w14:textId="77777777" w:rsidR="00B21D42" w:rsidRPr="00AB5F03" w:rsidRDefault="00B21D42" w:rsidP="00B21D42">
      <w:pPr>
        <w:autoSpaceDE w:val="0"/>
        <w:autoSpaceDN w:val="0"/>
        <w:adjustRightInd w:val="0"/>
        <w:spacing w:after="0" w:line="240" w:lineRule="auto"/>
        <w:rPr>
          <w:rFonts w:ascii="Arial" w:hAnsi="Arial" w:cs="Arial"/>
          <w:szCs w:val="21"/>
        </w:rPr>
      </w:pPr>
    </w:p>
    <w:p w14:paraId="51BF321C" w14:textId="77777777" w:rsidR="00B21D42" w:rsidRPr="00AB5F03" w:rsidRDefault="00B21D42" w:rsidP="00B21D42">
      <w:pPr>
        <w:autoSpaceDE w:val="0"/>
        <w:autoSpaceDN w:val="0"/>
        <w:adjustRightInd w:val="0"/>
        <w:spacing w:after="0" w:line="240" w:lineRule="auto"/>
        <w:rPr>
          <w:rFonts w:ascii="Arial" w:hAnsi="Arial" w:cs="Arial"/>
          <w:szCs w:val="21"/>
        </w:rPr>
      </w:pPr>
      <w:r w:rsidRPr="00AB5F03">
        <w:rPr>
          <w:rFonts w:ascii="Arial" w:hAnsi="Arial" w:cs="Arial"/>
          <w:szCs w:val="21"/>
        </w:rPr>
        <w:t>b) Mannschaft: Der Mannschaftskapitän darf, unabhängig ob er Amateur oder Professional ist, als Caddie eingesetzt werden. Andere Professionals als der Mannschaftskapitän sind als Caddies nicht erlaubt.</w:t>
      </w:r>
    </w:p>
    <w:p w14:paraId="2EF24FF0" w14:textId="77777777" w:rsidR="00B21D42" w:rsidRPr="00AB5F03" w:rsidRDefault="00B21D42" w:rsidP="00B21D42">
      <w:pPr>
        <w:autoSpaceDE w:val="0"/>
        <w:autoSpaceDN w:val="0"/>
        <w:adjustRightInd w:val="0"/>
        <w:spacing w:after="0" w:line="240" w:lineRule="auto"/>
        <w:rPr>
          <w:rFonts w:ascii="Arial" w:hAnsi="Arial" w:cs="Arial"/>
          <w:szCs w:val="21"/>
        </w:rPr>
      </w:pPr>
      <w:r w:rsidRPr="00AB5F03">
        <w:rPr>
          <w:rFonts w:ascii="Arial" w:hAnsi="Arial" w:cs="Arial"/>
          <w:szCs w:val="21"/>
        </w:rPr>
        <w:t>Bei Jugendmannschaftsturnieren dürfen nur Mannschaftsmitglieder und der Mannschaftskapitän als Caddies eingesetzt werden.</w:t>
      </w:r>
    </w:p>
    <w:p w14:paraId="20F17604" w14:textId="77777777" w:rsidR="00B21D42" w:rsidRPr="00AB5F03" w:rsidRDefault="00B21D42" w:rsidP="00B21D42">
      <w:pPr>
        <w:autoSpaceDE w:val="0"/>
        <w:autoSpaceDN w:val="0"/>
        <w:adjustRightInd w:val="0"/>
        <w:spacing w:after="0" w:line="240" w:lineRule="auto"/>
        <w:rPr>
          <w:rFonts w:ascii="Arial" w:hAnsi="Arial" w:cs="Arial"/>
          <w:szCs w:val="21"/>
        </w:rPr>
      </w:pPr>
    </w:p>
    <w:p w14:paraId="6A494A66" w14:textId="77777777" w:rsidR="00B21D42" w:rsidRPr="00AB5F03" w:rsidRDefault="00B21D42" w:rsidP="00B21D42">
      <w:pPr>
        <w:autoSpaceDE w:val="0"/>
        <w:autoSpaceDN w:val="0"/>
        <w:adjustRightInd w:val="0"/>
        <w:spacing w:after="0" w:line="240" w:lineRule="auto"/>
        <w:rPr>
          <w:rFonts w:ascii="Arial" w:hAnsi="Arial" w:cs="Arial"/>
          <w:szCs w:val="21"/>
        </w:rPr>
      </w:pPr>
      <w:r w:rsidRPr="00AB5F03">
        <w:rPr>
          <w:rFonts w:ascii="Arial" w:hAnsi="Arial" w:cs="Arial"/>
          <w:szCs w:val="21"/>
        </w:rPr>
        <w:t xml:space="preserve">c) </w:t>
      </w:r>
      <w:r w:rsidRPr="00AB5F03">
        <w:rPr>
          <w:rFonts w:ascii="Arial" w:hAnsi="Arial" w:cs="Arial"/>
          <w:szCs w:val="21"/>
          <w:u w:val="single"/>
        </w:rPr>
        <w:t>Verbandsliga der Region Nord (DGL Gruppenliga)</w:t>
      </w:r>
      <w:r w:rsidRPr="00AB5F03">
        <w:rPr>
          <w:rFonts w:ascii="Arial" w:hAnsi="Arial" w:cs="Arial"/>
          <w:szCs w:val="21"/>
        </w:rPr>
        <w:t xml:space="preserve">: Bei Verbandsliga-Turnieren der Region Nord können für den Turniertag gemeldete </w:t>
      </w:r>
      <w:proofErr w:type="spellStart"/>
      <w:r w:rsidRPr="00AB5F03">
        <w:rPr>
          <w:rFonts w:ascii="Arial" w:hAnsi="Arial" w:cs="Arial"/>
          <w:szCs w:val="21"/>
        </w:rPr>
        <w:t>Playing</w:t>
      </w:r>
      <w:proofErr w:type="spellEnd"/>
      <w:r w:rsidRPr="00AB5F03">
        <w:rPr>
          <w:rFonts w:ascii="Arial" w:hAnsi="Arial" w:cs="Arial"/>
          <w:szCs w:val="21"/>
        </w:rPr>
        <w:t xml:space="preserve"> Professionals oder gemeldete Spieler in Ausbildung zum Golflehrer als Caddie eingesetzt werden.</w:t>
      </w:r>
    </w:p>
    <w:p w14:paraId="18B807D2" w14:textId="77777777" w:rsidR="00B21D42" w:rsidRPr="00AB5F03" w:rsidRDefault="00B21D42" w:rsidP="00B21D42">
      <w:pPr>
        <w:autoSpaceDE w:val="0"/>
        <w:autoSpaceDN w:val="0"/>
        <w:adjustRightInd w:val="0"/>
        <w:spacing w:after="0" w:line="240" w:lineRule="auto"/>
        <w:rPr>
          <w:rFonts w:ascii="Arial" w:hAnsi="Arial" w:cs="Arial"/>
          <w:szCs w:val="21"/>
        </w:rPr>
      </w:pPr>
      <w:r w:rsidRPr="00AB5F03">
        <w:rPr>
          <w:rFonts w:ascii="Arial" w:hAnsi="Arial" w:cs="Arial"/>
          <w:szCs w:val="21"/>
        </w:rPr>
        <w:t>Strafe für Verstoß gegen diese Platzregel: Grundstrafe für den Spieler für jedes Loch, auf dem er durch einen nicht zulässigen Caddie unterstützt wird.</w:t>
      </w:r>
    </w:p>
    <w:p w14:paraId="6710B1D1" w14:textId="77777777" w:rsidR="00B21D42" w:rsidRPr="00AB5F03" w:rsidRDefault="00B21D42" w:rsidP="00B21D42">
      <w:pPr>
        <w:autoSpaceDE w:val="0"/>
        <w:autoSpaceDN w:val="0"/>
        <w:adjustRightInd w:val="0"/>
        <w:spacing w:after="0" w:line="240" w:lineRule="auto"/>
        <w:rPr>
          <w:rFonts w:ascii="Arial" w:hAnsi="Arial" w:cs="Arial"/>
          <w:szCs w:val="21"/>
        </w:rPr>
      </w:pPr>
      <w:r w:rsidRPr="00AB5F03">
        <w:rPr>
          <w:rFonts w:ascii="Arial" w:hAnsi="Arial" w:cs="Arial"/>
          <w:szCs w:val="21"/>
        </w:rPr>
        <w:t>Findet der Verstoß zwischen zwei Löchern statt oder wird er dort fortgesetzt, zieht sich der Spieler die Grundstrafe für das nächste Loch zu.</w:t>
      </w:r>
    </w:p>
    <w:p w14:paraId="0682976A" w14:textId="77777777" w:rsidR="00B21D42" w:rsidRPr="00AB5F03" w:rsidRDefault="00B21D42" w:rsidP="00B21D42">
      <w:pPr>
        <w:pStyle w:val="KeinLeerraum"/>
        <w:rPr>
          <w:rFonts w:cs="Arial"/>
          <w:szCs w:val="21"/>
          <w:lang w:eastAsia="de-DE"/>
        </w:rPr>
      </w:pPr>
    </w:p>
    <w:p w14:paraId="5AF773FB" w14:textId="77777777" w:rsidR="00B21D42" w:rsidRPr="00AB5F03" w:rsidRDefault="00B21D42" w:rsidP="00B21D42">
      <w:pPr>
        <w:pStyle w:val="KeinLeerraum"/>
        <w:rPr>
          <w:rFonts w:cs="Arial"/>
          <w:b/>
          <w:szCs w:val="21"/>
          <w:lang w:eastAsia="de-DE"/>
        </w:rPr>
      </w:pPr>
      <w:r w:rsidRPr="00AB5F03">
        <w:rPr>
          <w:rFonts w:cs="Arial"/>
          <w:b/>
          <w:szCs w:val="21"/>
          <w:highlight w:val="lightGray"/>
          <w:lang w:eastAsia="de-DE"/>
        </w:rPr>
        <w:t>7. Üben (Nachputten) (Regel 5.2 und 5.5)</w:t>
      </w:r>
    </w:p>
    <w:p w14:paraId="6229400B" w14:textId="77777777" w:rsidR="00B21D42" w:rsidRPr="00AB5F03" w:rsidRDefault="00B21D42" w:rsidP="00B21D42">
      <w:pPr>
        <w:pStyle w:val="KeinLeerraum"/>
        <w:rPr>
          <w:rFonts w:cs="Arial"/>
          <w:szCs w:val="21"/>
          <w:lang w:eastAsia="de-DE"/>
        </w:rPr>
      </w:pPr>
    </w:p>
    <w:p w14:paraId="638ADA5C" w14:textId="77777777" w:rsidR="00B21D42" w:rsidRPr="00AB5F03" w:rsidRDefault="00B21D42" w:rsidP="00B21D42">
      <w:pPr>
        <w:pStyle w:val="KeinLeerraum"/>
        <w:rPr>
          <w:rFonts w:cs="Arial"/>
          <w:szCs w:val="21"/>
          <w:lang w:eastAsia="de-DE"/>
        </w:rPr>
      </w:pPr>
      <w:r w:rsidRPr="00AB5F03">
        <w:rPr>
          <w:rFonts w:cs="Arial"/>
          <w:szCs w:val="21"/>
          <w:lang w:eastAsia="de-DE"/>
        </w:rPr>
        <w:t>Regel 5.2a und 5.2b wird wie folgt geändert</w:t>
      </w:r>
      <w:r w:rsidRPr="00AB5F03">
        <w:rPr>
          <w:rFonts w:cs="Arial"/>
          <w:color w:val="2F5496" w:themeColor="accent1" w:themeShade="BF"/>
          <w:szCs w:val="21"/>
          <w:lang w:eastAsia="de-DE"/>
        </w:rPr>
        <w:t xml:space="preserve">. </w:t>
      </w:r>
      <w:r w:rsidRPr="00AB5F03">
        <w:rPr>
          <w:rFonts w:cs="Arial"/>
          <w:szCs w:val="21"/>
          <w:lang w:eastAsia="de-DE"/>
        </w:rPr>
        <w:t>Das Üben auf dem Platz am Turniertag eines Loch- oder Zählspiels</w:t>
      </w:r>
      <w:r w:rsidRPr="00AB5F03">
        <w:rPr>
          <w:rFonts w:cs="Arial"/>
          <w:color w:val="2F5496" w:themeColor="accent1" w:themeShade="BF"/>
          <w:szCs w:val="21"/>
          <w:lang w:eastAsia="de-DE"/>
        </w:rPr>
        <w:t xml:space="preserve"> </w:t>
      </w:r>
      <w:r w:rsidRPr="00AB5F03">
        <w:rPr>
          <w:rFonts w:cs="Arial"/>
          <w:szCs w:val="21"/>
          <w:lang w:eastAsia="de-DE"/>
        </w:rPr>
        <w:t xml:space="preserve">vor der Runde und / oder bei mehrtägigen Turnieren zwischen den Runden ist untersagt. </w:t>
      </w:r>
    </w:p>
    <w:p w14:paraId="60E7D8A2" w14:textId="77777777" w:rsidR="00B21D42" w:rsidRPr="00AB5F03" w:rsidRDefault="00B21D42" w:rsidP="00B21D42">
      <w:pPr>
        <w:pStyle w:val="KeinLeerraum"/>
        <w:rPr>
          <w:rFonts w:cs="Arial"/>
          <w:szCs w:val="21"/>
          <w:lang w:eastAsia="de-DE"/>
        </w:rPr>
      </w:pPr>
      <w:r w:rsidRPr="00AB5F03">
        <w:rPr>
          <w:rFonts w:cs="Arial"/>
          <w:b/>
          <w:szCs w:val="21"/>
          <w:lang w:eastAsia="de-DE"/>
        </w:rPr>
        <w:t>Strafe für Verstoß</w:t>
      </w:r>
      <w:r w:rsidRPr="00AB5F03">
        <w:rPr>
          <w:rFonts w:cs="Arial"/>
          <w:szCs w:val="21"/>
          <w:lang w:eastAsia="de-DE"/>
        </w:rPr>
        <w:t>: Grundstrafe</w:t>
      </w:r>
    </w:p>
    <w:p w14:paraId="396E9731" w14:textId="77777777" w:rsidR="00B21D42" w:rsidRPr="00AB5F03" w:rsidRDefault="00B21D42" w:rsidP="00B21D42">
      <w:pPr>
        <w:pStyle w:val="KeinLeerraum"/>
        <w:rPr>
          <w:rFonts w:cs="Arial"/>
          <w:szCs w:val="21"/>
          <w:lang w:eastAsia="de-DE"/>
        </w:rPr>
      </w:pPr>
      <w:r w:rsidRPr="00AB5F03">
        <w:rPr>
          <w:rFonts w:cs="Arial"/>
          <w:b/>
          <w:bCs/>
          <w:szCs w:val="21"/>
          <w:lang w:eastAsia="de-DE"/>
        </w:rPr>
        <w:t xml:space="preserve">Strafe für zweiten Verstoß: </w:t>
      </w:r>
      <w:r w:rsidRPr="00AB5F03">
        <w:rPr>
          <w:rFonts w:cs="Arial"/>
          <w:szCs w:val="21"/>
          <w:lang w:eastAsia="de-DE"/>
        </w:rPr>
        <w:t xml:space="preserve">Disqualifikation </w:t>
      </w:r>
    </w:p>
    <w:p w14:paraId="62AB128F" w14:textId="77777777" w:rsidR="00B21D42" w:rsidRPr="00AB5F03" w:rsidRDefault="00B21D42" w:rsidP="00B21D42">
      <w:pPr>
        <w:pStyle w:val="KeinLeerraum"/>
        <w:rPr>
          <w:rFonts w:cs="Arial"/>
          <w:szCs w:val="21"/>
          <w:lang w:eastAsia="de-DE"/>
        </w:rPr>
      </w:pPr>
      <w:r w:rsidRPr="00AB5F03">
        <w:rPr>
          <w:rFonts w:cs="Arial"/>
          <w:szCs w:val="21"/>
          <w:lang w:eastAsia="de-DE"/>
        </w:rPr>
        <w:t xml:space="preserve"> Regel 5.5b wird im Zählspiel wie folgt abgeändert: Ein Spieler darf keinen Übungsschlag (z.B. „Putten oder Chippen“) nahe oder auf dem Grün des zuletzt gespielten Lochs ausführen oder zum Prüfen des Grüns einen Ball rollen.</w:t>
      </w:r>
    </w:p>
    <w:p w14:paraId="57F3D708" w14:textId="77777777" w:rsidR="00B21D42" w:rsidRPr="00AB5F03" w:rsidRDefault="00B21D42" w:rsidP="00B21D42">
      <w:pPr>
        <w:pStyle w:val="KeinLeerraum"/>
        <w:rPr>
          <w:rFonts w:cs="Arial"/>
          <w:szCs w:val="21"/>
          <w:lang w:eastAsia="de-DE"/>
        </w:rPr>
      </w:pPr>
      <w:r w:rsidRPr="00AB5F03">
        <w:rPr>
          <w:rFonts w:cs="Arial"/>
          <w:b/>
          <w:bCs/>
          <w:szCs w:val="21"/>
          <w:lang w:eastAsia="de-DE"/>
        </w:rPr>
        <w:t xml:space="preserve">Strafe für Verstoß: </w:t>
      </w:r>
      <w:r w:rsidRPr="00AB5F03">
        <w:rPr>
          <w:rFonts w:cs="Arial"/>
          <w:szCs w:val="21"/>
          <w:lang w:eastAsia="de-DE"/>
        </w:rPr>
        <w:t>Grundstrafe</w:t>
      </w:r>
    </w:p>
    <w:p w14:paraId="408D3B01" w14:textId="77777777" w:rsidR="00B21D42" w:rsidRPr="00AB5F03" w:rsidRDefault="00B21D42" w:rsidP="00B21D42">
      <w:pPr>
        <w:pStyle w:val="KeinLeerraum"/>
        <w:rPr>
          <w:rFonts w:cs="Arial"/>
          <w:szCs w:val="21"/>
          <w:lang w:eastAsia="de-DE"/>
        </w:rPr>
      </w:pPr>
    </w:p>
    <w:p w14:paraId="051D5AD3" w14:textId="77777777" w:rsidR="00B21D42" w:rsidRPr="00AB5F03" w:rsidRDefault="00B21D42" w:rsidP="00B21D42">
      <w:pPr>
        <w:pStyle w:val="KeinLeerraum"/>
        <w:rPr>
          <w:rFonts w:cs="Arial"/>
          <w:b/>
          <w:szCs w:val="21"/>
          <w:lang w:eastAsia="de-DE"/>
        </w:rPr>
      </w:pPr>
      <w:r w:rsidRPr="00AB5F03">
        <w:rPr>
          <w:rFonts w:cs="Arial"/>
          <w:b/>
          <w:szCs w:val="21"/>
          <w:highlight w:val="lightGray"/>
          <w:lang w:eastAsia="de-DE"/>
        </w:rPr>
        <w:t>8. Unterbrechung des Spiels; Wiederaufnahme des Spiels (Regel 5.7)</w:t>
      </w:r>
      <w:r w:rsidRPr="00AB5F03">
        <w:rPr>
          <w:rFonts w:cs="Arial"/>
          <w:b/>
          <w:szCs w:val="21"/>
          <w:lang w:eastAsia="de-DE"/>
        </w:rPr>
        <w:t xml:space="preserve"> </w:t>
      </w:r>
    </w:p>
    <w:p w14:paraId="523212BD" w14:textId="77777777" w:rsidR="00B21D42" w:rsidRPr="00AB5F03" w:rsidRDefault="00B21D42" w:rsidP="00B21D42">
      <w:pPr>
        <w:pStyle w:val="KeinLeerraum"/>
        <w:rPr>
          <w:rFonts w:cs="Arial"/>
          <w:szCs w:val="21"/>
          <w:lang w:eastAsia="de-DE"/>
        </w:rPr>
      </w:pPr>
    </w:p>
    <w:p w14:paraId="6605BE71" w14:textId="77777777" w:rsidR="00B21D42" w:rsidRPr="00AB5F03" w:rsidRDefault="00B21D42" w:rsidP="00B21D42">
      <w:pPr>
        <w:pStyle w:val="KeinLeerraum"/>
        <w:rPr>
          <w:rFonts w:cs="Arial"/>
          <w:b/>
          <w:szCs w:val="21"/>
          <w:lang w:eastAsia="de-DE"/>
        </w:rPr>
      </w:pPr>
      <w:r w:rsidRPr="00AB5F03">
        <w:rPr>
          <w:rFonts w:cs="Arial"/>
          <w:b/>
          <w:szCs w:val="21"/>
          <w:highlight w:val="lightGray"/>
          <w:lang w:eastAsia="de-DE"/>
        </w:rPr>
        <w:t>9. Spielgeschwindigkeit (vgl. Regel 5.6)</w:t>
      </w:r>
      <w:r w:rsidRPr="00AB5F03">
        <w:rPr>
          <w:rFonts w:cs="Arial"/>
          <w:b/>
          <w:szCs w:val="21"/>
          <w:lang w:eastAsia="de-DE"/>
        </w:rPr>
        <w:t xml:space="preserve"> </w:t>
      </w:r>
    </w:p>
    <w:p w14:paraId="0567D078" w14:textId="77777777" w:rsidR="00B21D42" w:rsidRPr="00AB5F03" w:rsidRDefault="00B21D42" w:rsidP="00B21D42">
      <w:pPr>
        <w:pStyle w:val="KeinLeerraum"/>
        <w:rPr>
          <w:rFonts w:cs="Arial"/>
          <w:color w:val="2F5496" w:themeColor="accent1" w:themeShade="BF"/>
          <w:szCs w:val="21"/>
          <w:lang w:eastAsia="de-DE"/>
        </w:rPr>
      </w:pPr>
    </w:p>
    <w:p w14:paraId="7AB52FC8" w14:textId="77777777" w:rsidR="00B21D42" w:rsidRPr="00AB5F03" w:rsidRDefault="00B21D42" w:rsidP="00B21D42">
      <w:pPr>
        <w:pStyle w:val="KeinLeerraum"/>
        <w:rPr>
          <w:rFonts w:cs="Arial"/>
          <w:b/>
          <w:szCs w:val="21"/>
          <w:lang w:eastAsia="de-DE"/>
        </w:rPr>
      </w:pPr>
      <w:r w:rsidRPr="00AB5F03">
        <w:rPr>
          <w:rFonts w:cs="Arial"/>
          <w:b/>
          <w:szCs w:val="21"/>
          <w:highlight w:val="lightGray"/>
          <w:lang w:eastAsia="de-DE"/>
        </w:rPr>
        <w:t>Definition von „Position verloren“</w:t>
      </w:r>
      <w:r w:rsidRPr="00AB5F03">
        <w:rPr>
          <w:rFonts w:cs="Arial"/>
          <w:b/>
          <w:szCs w:val="21"/>
          <w:lang w:eastAsia="de-DE"/>
        </w:rPr>
        <w:t xml:space="preserve"> </w:t>
      </w:r>
    </w:p>
    <w:p w14:paraId="17E9D616" w14:textId="4F2A29C8" w:rsidR="00B21D42" w:rsidRPr="000701F4" w:rsidRDefault="00B21D42" w:rsidP="000701F4">
      <w:pPr>
        <w:pStyle w:val="KeinLeerraum"/>
        <w:rPr>
          <w:rFonts w:cs="Arial"/>
          <w:bCs/>
          <w:szCs w:val="21"/>
          <w:lang w:eastAsia="de-DE"/>
        </w:rPr>
      </w:pPr>
      <w:r w:rsidRPr="00AB5F03">
        <w:rPr>
          <w:rFonts w:cs="Arial"/>
          <w:bCs/>
          <w:szCs w:val="21"/>
          <w:lang w:eastAsia="de-DE"/>
        </w:rPr>
        <w:t xml:space="preserve">Von der als erste startende Gruppe wird angenommen, dass sie ihre „Position verloren“ hat, falls die addierte Zeit der Gruppe zu irgendeiner Zeit während der </w:t>
      </w:r>
      <w:proofErr w:type="gramStart"/>
      <w:r w:rsidRPr="00AB5F03">
        <w:rPr>
          <w:rFonts w:cs="Arial"/>
          <w:bCs/>
          <w:szCs w:val="21"/>
          <w:lang w:eastAsia="de-DE"/>
        </w:rPr>
        <w:t>Runde</w:t>
      </w:r>
      <w:proofErr w:type="gramEnd"/>
      <w:r w:rsidRPr="00AB5F03">
        <w:rPr>
          <w:rFonts w:cs="Arial"/>
          <w:bCs/>
          <w:szCs w:val="21"/>
          <w:lang w:eastAsia="de-DE"/>
        </w:rPr>
        <w:t xml:space="preserve"> die für die gespielten Löcher erlaubte Zeit überschreitet. Von jeder folgenden Gruppe wird angenommen, dass sie ihre „Position verloren“ hat, wenn sie die Zeit eines Startintervalls hinter </w:t>
      </w:r>
    </w:p>
    <w:sectPr w:rsidR="00B21D42" w:rsidRPr="000701F4" w:rsidSect="00B21D42">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6FCB" w14:textId="77777777" w:rsidR="00850A02" w:rsidRDefault="00850A02" w:rsidP="001B0BEB">
      <w:pPr>
        <w:spacing w:after="0" w:line="240" w:lineRule="auto"/>
      </w:pPr>
      <w:r>
        <w:separator/>
      </w:r>
    </w:p>
  </w:endnote>
  <w:endnote w:type="continuationSeparator" w:id="0">
    <w:p w14:paraId="7F639AEC" w14:textId="77777777" w:rsidR="00850A02" w:rsidRDefault="00850A02" w:rsidP="001B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D9FB" w14:textId="77777777" w:rsidR="00850A02" w:rsidRDefault="00850A02" w:rsidP="001B0BEB">
      <w:pPr>
        <w:spacing w:after="0" w:line="240" w:lineRule="auto"/>
      </w:pPr>
      <w:r>
        <w:separator/>
      </w:r>
    </w:p>
  </w:footnote>
  <w:footnote w:type="continuationSeparator" w:id="0">
    <w:p w14:paraId="71EECBFA" w14:textId="77777777" w:rsidR="00850A02" w:rsidRDefault="00850A02" w:rsidP="001B0B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42"/>
    <w:rsid w:val="000701F4"/>
    <w:rsid w:val="001B0BEB"/>
    <w:rsid w:val="00850A02"/>
    <w:rsid w:val="00A95C01"/>
    <w:rsid w:val="00AB5F03"/>
    <w:rsid w:val="00B21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F80FD"/>
  <w15:chartTrackingRefBased/>
  <w15:docId w15:val="{1AFEA35A-2CDB-4066-B6BB-55EE9EB7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1D42"/>
    <w:pPr>
      <w:spacing w:after="0" w:line="240" w:lineRule="auto"/>
    </w:pPr>
    <w:rPr>
      <w:rFonts w:ascii="Arial" w:hAnsi="Arial"/>
      <w:sz w:val="21"/>
    </w:rPr>
  </w:style>
  <w:style w:type="paragraph" w:styleId="Kopfzeile">
    <w:name w:val="header"/>
    <w:basedOn w:val="Standard"/>
    <w:link w:val="KopfzeileZchn"/>
    <w:uiPriority w:val="99"/>
    <w:unhideWhenUsed/>
    <w:rsid w:val="001B0B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BEB"/>
  </w:style>
  <w:style w:type="paragraph" w:styleId="Fuzeile">
    <w:name w:val="footer"/>
    <w:basedOn w:val="Standard"/>
    <w:link w:val="FuzeileZchn"/>
    <w:uiPriority w:val="99"/>
    <w:unhideWhenUsed/>
    <w:rsid w:val="001B0B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Helbing</dc:creator>
  <cp:keywords/>
  <dc:description/>
  <cp:lastModifiedBy>Alexander Helbing</cp:lastModifiedBy>
  <cp:revision>1</cp:revision>
  <cp:lastPrinted>2021-05-26T08:56:00Z</cp:lastPrinted>
  <dcterms:created xsi:type="dcterms:W3CDTF">2021-05-26T08:07:00Z</dcterms:created>
  <dcterms:modified xsi:type="dcterms:W3CDTF">2021-05-26T08:57:00Z</dcterms:modified>
</cp:coreProperties>
</file>